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1A21" w14:textId="77777777" w:rsidR="00BB4669" w:rsidRDefault="00BB4669" w:rsidP="00BB4669">
      <w:pPr>
        <w:pStyle w:val="En-tte"/>
      </w:pPr>
      <w:r w:rsidRPr="00941731">
        <w:rPr>
          <w:i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3C43F49" wp14:editId="7ABCCD33">
            <wp:simplePos x="0" y="0"/>
            <wp:positionH relativeFrom="column">
              <wp:posOffset>-90170</wp:posOffset>
            </wp:positionH>
            <wp:positionV relativeFrom="paragraph">
              <wp:posOffset>-1905</wp:posOffset>
            </wp:positionV>
            <wp:extent cx="2295525" cy="537845"/>
            <wp:effectExtent l="0" t="0" r="9525" b="0"/>
            <wp:wrapTight wrapText="bothSides">
              <wp:wrapPolygon edited="0">
                <wp:start x="0" y="0"/>
                <wp:lineTo x="0" y="20656"/>
                <wp:lineTo x="21510" y="20656"/>
                <wp:lineTo x="21510" y="0"/>
                <wp:lineTo x="0" y="0"/>
              </wp:wrapPolygon>
            </wp:wrapTight>
            <wp:docPr id="14" name="Image 14" descr="W:\Commun-RHTC\RHTC Logos\NOUVEAU LOGO Rh Triumvirat Cons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mmun-RHTC\RHTC Logos\NOUVEAU LOGO Rh Triumvirat Conse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8191D22" wp14:editId="367F61B7">
            <wp:simplePos x="0" y="0"/>
            <wp:positionH relativeFrom="column">
              <wp:posOffset>3824605</wp:posOffset>
            </wp:positionH>
            <wp:positionV relativeFrom="paragraph">
              <wp:posOffset>-116205</wp:posOffset>
            </wp:positionV>
            <wp:extent cx="1990725" cy="695325"/>
            <wp:effectExtent l="0" t="0" r="9525" b="9525"/>
            <wp:wrapSquare wrapText="bothSides"/>
            <wp:docPr id="17" name="logo" descr="So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oH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82704" w14:textId="77777777" w:rsidR="00DD14B4" w:rsidRDefault="00DD14B4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543676A" w14:textId="77777777" w:rsidR="00DD14B4" w:rsidRDefault="00DD14B4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7AFE7CC" w14:textId="77777777" w:rsidR="00BB4669" w:rsidRDefault="00BB4669" w:rsidP="00BB4669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CGV</w:t>
      </w:r>
    </w:p>
    <w:p w14:paraId="55E30E65" w14:textId="77777777" w:rsidR="00DD14B4" w:rsidRDefault="00DD14B4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02AC1E13" w14:textId="69D23FFD" w:rsidR="00A75E17" w:rsidRDefault="00A75E17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L’achat pour les bilans de compétences s’effectue sous </w:t>
      </w:r>
      <w:r w:rsidR="00A124FA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 xml:space="preserve"> formes :</w:t>
      </w:r>
    </w:p>
    <w:p w14:paraId="200A692A" w14:textId="77777777" w:rsidR="00DD14B4" w:rsidRDefault="00A75E17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Par le CPF et la plateforme EDOF (</w:t>
      </w:r>
      <w:proofErr w:type="spellStart"/>
      <w:r>
        <w:rPr>
          <w:rFonts w:ascii="Helvetica" w:hAnsi="Helvetica" w:cs="Helvetica"/>
          <w:sz w:val="24"/>
          <w:szCs w:val="24"/>
        </w:rPr>
        <w:t>moncompteformation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14:paraId="4A7134D2" w14:textId="77777777" w:rsidR="00A75E17" w:rsidRDefault="00A75E17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Par le plan de développement des compétences et prise en charge par l’employeur de fait, avec une convention tripartite (employeur, bénéficiaire et centre bilan de compétences)</w:t>
      </w:r>
    </w:p>
    <w:p w14:paraId="74042E7C" w14:textId="11766638" w:rsidR="00A75E17" w:rsidRDefault="00A75E17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Par un auto-financement avec une convention bipartite (bénéficiaire et centre de bilan de compétences</w:t>
      </w:r>
      <w:r w:rsidR="00982BFE">
        <w:rPr>
          <w:rFonts w:ascii="Helvetica" w:hAnsi="Helvetica" w:cs="Helvetica"/>
          <w:sz w:val="24"/>
          <w:szCs w:val="24"/>
        </w:rPr>
        <w:t>). Payable en 3 fois, au démarrage du bilan, en phase intermédiaire et en fin de bilan.</w:t>
      </w:r>
    </w:p>
    <w:p w14:paraId="5702EFD3" w14:textId="583C208A" w:rsidR="00A124FA" w:rsidRDefault="00A124FA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017EE9" w:rsidRPr="00017EE9">
        <w:rPr>
          <w:rFonts w:ascii="Helvetica" w:hAnsi="Helvetica" w:cs="Helvetica"/>
          <w:sz w:val="24"/>
          <w:szCs w:val="24"/>
        </w:rPr>
        <w:t>Notre cabinet étant certifié QUALIOPI  depuis juillet 2020, il peut donc prendre en charge les Agents de la fonction publique hospitalière grâce à un financement ANFH. Une prise en charge est donc possible pendant ou hors temps de travail avec une convention tripartite.</w:t>
      </w:r>
    </w:p>
    <w:p w14:paraId="5F782EDA" w14:textId="77777777" w:rsidR="00C276C0" w:rsidRDefault="00C276C0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20AA38F0" w14:textId="0EFA6D62" w:rsidR="00C276C0" w:rsidRDefault="00C276C0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Les bénéficiaires dont la prise en charge est effectué</w:t>
      </w:r>
      <w:r w:rsidR="002F55C0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 via leur CPF doivent se conforter au CGV de la plateforme EDOF.</w:t>
      </w:r>
    </w:p>
    <w:p w14:paraId="3D571D90" w14:textId="77777777" w:rsidR="00C276C0" w:rsidRDefault="00C276C0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Dans le cas des autres financements, le bénéficiaire s’engage à participer à toutes les séances. S’il a des absences répétées et injustifiées, </w:t>
      </w:r>
      <w:r w:rsidR="006736EF">
        <w:rPr>
          <w:rFonts w:ascii="Helvetica" w:hAnsi="Helvetica" w:cs="Helvetica"/>
          <w:sz w:val="24"/>
          <w:szCs w:val="24"/>
        </w:rPr>
        <w:t>le financeur</w:t>
      </w:r>
      <w:r>
        <w:rPr>
          <w:rFonts w:ascii="Helvetica" w:hAnsi="Helvetica" w:cs="Helvetica"/>
          <w:sz w:val="24"/>
          <w:szCs w:val="24"/>
        </w:rPr>
        <w:t xml:space="preserve"> devra</w:t>
      </w:r>
      <w:r w:rsidR="006736EF">
        <w:rPr>
          <w:rFonts w:ascii="Helvetica" w:hAnsi="Helvetica" w:cs="Helvetica"/>
          <w:sz w:val="24"/>
          <w:szCs w:val="24"/>
        </w:rPr>
        <w:t xml:space="preserve"> tout de </w:t>
      </w:r>
      <w:proofErr w:type="gramStart"/>
      <w:r w:rsidR="006736EF">
        <w:rPr>
          <w:rFonts w:ascii="Helvetica" w:hAnsi="Helvetica" w:cs="Helvetica"/>
          <w:sz w:val="24"/>
          <w:szCs w:val="24"/>
        </w:rPr>
        <w:t xml:space="preserve">même </w:t>
      </w:r>
      <w:r>
        <w:rPr>
          <w:rFonts w:ascii="Helvetica" w:hAnsi="Helvetica" w:cs="Helvetica"/>
          <w:sz w:val="24"/>
          <w:szCs w:val="24"/>
        </w:rPr>
        <w:t xml:space="preserve"> s’acquitter</w:t>
      </w:r>
      <w:proofErr w:type="gramEnd"/>
      <w:r w:rsidR="006736EF">
        <w:rPr>
          <w:rFonts w:ascii="Helvetica" w:hAnsi="Helvetica" w:cs="Helvetica"/>
          <w:sz w:val="24"/>
          <w:szCs w:val="24"/>
        </w:rPr>
        <w:t xml:space="preserve"> de sa facture en fin de formation dans son intégralité. En cas d’abandon de la formation sans justificatif, notre cabinet se donne le droit de demander l’intégralité de la facture.</w:t>
      </w:r>
    </w:p>
    <w:p w14:paraId="5215F700" w14:textId="77777777" w:rsidR="006736EF" w:rsidRDefault="006736EF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Dans le cas d’absences liées à une force majeure et justifiée, le financeur paiera la facture en fonction du prorata de la présence du bénéficiaire tout comme en cas d’abandon.</w:t>
      </w:r>
    </w:p>
    <w:p w14:paraId="2FB1A51A" w14:textId="77777777" w:rsidR="00DD14B4" w:rsidRDefault="00DD14B4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4D1791B7" w14:textId="77777777" w:rsidR="00DD14B4" w:rsidRDefault="00DD14B4" w:rsidP="00DD14B4">
      <w:pPr>
        <w:shd w:val="clear" w:color="auto" w:fill="FFFFFF"/>
        <w:spacing w:before="180" w:after="18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 cas d'inexécution totale ou partielle ou faute de réalisation totale ou partielle d'une prestation de formation, l'organisme prestataire rembourse au cocontractant les sommes indûment perçues de ce fait. (Articles L6354-1 et L920-9 du code du travail)</w:t>
      </w:r>
    </w:p>
    <w:p w14:paraId="1C3DE6F5" w14:textId="77777777" w:rsidR="00DD14B4" w:rsidRDefault="00DD14B4" w:rsidP="00DD14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0FF"/>
          <w:sz w:val="24"/>
          <w:szCs w:val="24"/>
        </w:rPr>
      </w:pPr>
    </w:p>
    <w:p w14:paraId="0DD217CE" w14:textId="77777777" w:rsidR="00B9535D" w:rsidRDefault="00B9535D"/>
    <w:sectPr w:rsidR="00B9535D" w:rsidSect="00BB4669">
      <w:footerReference w:type="default" r:id="rId8"/>
      <w:pgSz w:w="11906" w:h="16838"/>
      <w:pgMar w:top="426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05C8" w14:textId="77777777" w:rsidR="00BB4669" w:rsidRDefault="00BB4669" w:rsidP="00BB4669">
      <w:pPr>
        <w:spacing w:after="0" w:line="240" w:lineRule="auto"/>
      </w:pPr>
      <w:r>
        <w:separator/>
      </w:r>
    </w:p>
  </w:endnote>
  <w:endnote w:type="continuationSeparator" w:id="0">
    <w:p w14:paraId="65664A76" w14:textId="77777777" w:rsidR="00BB4669" w:rsidRDefault="00BB4669" w:rsidP="00BB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E21E" w14:textId="263695CF" w:rsidR="00BB4669" w:rsidRPr="00793643" w:rsidRDefault="00BB4669" w:rsidP="00BB4669">
    <w:pPr>
      <w:pStyle w:val="Pieddepage"/>
      <w:jc w:val="center"/>
      <w:rPr>
        <w:b/>
        <w:color w:val="2F5496" w:themeColor="accent1" w:themeShade="BF"/>
      </w:rPr>
    </w:pPr>
    <w:r w:rsidRPr="00793643">
      <w:rPr>
        <w:b/>
        <w:color w:val="2F5496" w:themeColor="accent1" w:themeShade="BF"/>
      </w:rPr>
      <w:t>Triumvirat Conseil</w:t>
    </w:r>
    <w:r>
      <w:rPr>
        <w:b/>
        <w:color w:val="2F5496" w:themeColor="accent1" w:themeShade="BF"/>
      </w:rPr>
      <w:t xml:space="preserve">-SOHIM </w:t>
    </w:r>
    <w:r w:rsidRPr="00793643">
      <w:rPr>
        <w:b/>
        <w:color w:val="2F5496" w:themeColor="accent1" w:themeShade="BF"/>
      </w:rPr>
      <w:t xml:space="preserve">: </w:t>
    </w:r>
    <w:r w:rsidRPr="00793643">
      <w:rPr>
        <w:b/>
        <w:color w:val="000000" w:themeColor="text1"/>
      </w:rPr>
      <w:t>TECHNOPARC</w:t>
    </w:r>
    <w:r>
      <w:rPr>
        <w:b/>
        <w:color w:val="000000" w:themeColor="text1"/>
      </w:rPr>
      <w:t xml:space="preserve"> d’Écully</w:t>
    </w:r>
    <w:r w:rsidRPr="00793643">
      <w:rPr>
        <w:b/>
        <w:color w:val="000000" w:themeColor="text1"/>
      </w:rPr>
      <w:t xml:space="preserve">, </w:t>
    </w:r>
    <w:r w:rsidRPr="00793643">
      <w:rPr>
        <w:b/>
      </w:rPr>
      <w:t>3 Allée Moulin Berger – 69 130 Ecully</w:t>
    </w:r>
  </w:p>
  <w:p w14:paraId="6F367BF3" w14:textId="77777777" w:rsidR="00BB4669" w:rsidRPr="00793643" w:rsidRDefault="00BB4669" w:rsidP="00BB4669">
    <w:pPr>
      <w:pStyle w:val="Pieddepage"/>
      <w:jc w:val="center"/>
      <w:rPr>
        <w:rFonts w:ascii="Arial" w:hAnsi="Arial" w:cs="Arial"/>
        <w:b/>
        <w:sz w:val="18"/>
        <w:szCs w:val="18"/>
        <w:lang w:eastAsia="fr-FR"/>
      </w:rPr>
    </w:pPr>
    <w:r w:rsidRPr="00793643">
      <w:rPr>
        <w:rFonts w:ascii="Arial" w:hAnsi="Arial" w:cs="Arial"/>
        <w:b/>
        <w:sz w:val="18"/>
        <w:szCs w:val="18"/>
        <w:lang w:eastAsia="fr-FR"/>
      </w:rPr>
      <w:t xml:space="preserve">Tél : 04 78 33 09 96 </w:t>
    </w:r>
  </w:p>
  <w:p w14:paraId="183E1E6D" w14:textId="35F48D68" w:rsidR="00BB4669" w:rsidRPr="00793643" w:rsidRDefault="00BB4669" w:rsidP="00BB4669">
    <w:pPr>
      <w:pStyle w:val="Pieddepage"/>
      <w:rPr>
        <w:rStyle w:val="Lienhypertexte"/>
        <w:rFonts w:ascii="Arial" w:hAnsi="Arial" w:cs="Arial"/>
        <w:b/>
        <w:sz w:val="18"/>
        <w:szCs w:val="18"/>
        <w:lang w:eastAsia="fr-FR"/>
      </w:rPr>
    </w:pPr>
    <w:r>
      <w:tab/>
    </w:r>
    <w:hyperlink r:id="rId1" w:history="1">
      <w:r w:rsidRPr="00793643">
        <w:rPr>
          <w:rStyle w:val="Lienhypertexte"/>
          <w:rFonts w:ascii="Arial" w:hAnsi="Arial" w:cs="Arial"/>
          <w:b/>
          <w:sz w:val="18"/>
          <w:szCs w:val="18"/>
          <w:lang w:eastAsia="fr-FR"/>
        </w:rPr>
        <w:t>www.sohim.fr</w:t>
      </w:r>
    </w:hyperlink>
    <w:r w:rsidRPr="00793643">
      <w:rPr>
        <w:rFonts w:ascii="Arial" w:hAnsi="Arial" w:cs="Arial"/>
        <w:b/>
        <w:color w:val="000000" w:themeColor="text1"/>
        <w:sz w:val="18"/>
        <w:szCs w:val="18"/>
        <w:lang w:eastAsia="fr-FR"/>
      </w:rPr>
      <w:t xml:space="preserve"> </w:t>
    </w:r>
    <w:r>
      <w:rPr>
        <w:rFonts w:ascii="Arial" w:hAnsi="Arial" w:cs="Arial"/>
        <w:b/>
        <w:color w:val="000000" w:themeColor="text1"/>
        <w:sz w:val="18"/>
        <w:szCs w:val="18"/>
        <w:lang w:eastAsia="fr-FR"/>
      </w:rPr>
      <w:t xml:space="preserve"> - </w:t>
    </w:r>
    <w:r w:rsidRPr="00793643">
      <w:rPr>
        <w:rFonts w:ascii="Arial" w:hAnsi="Arial" w:cs="Arial"/>
        <w:b/>
        <w:sz w:val="18"/>
        <w:szCs w:val="18"/>
        <w:lang w:eastAsia="fr-FR"/>
      </w:rPr>
      <w:t xml:space="preserve">E-mail : </w:t>
    </w:r>
    <w:hyperlink r:id="rId2" w:history="1">
      <w:r w:rsidRPr="0067634E">
        <w:rPr>
          <w:rStyle w:val="Lienhypertexte"/>
          <w:rFonts w:ascii="Arial" w:hAnsi="Arial" w:cs="Arial"/>
          <w:b/>
          <w:sz w:val="18"/>
          <w:szCs w:val="18"/>
          <w:lang w:eastAsia="fr-FR"/>
        </w:rPr>
        <w:t>centre.rhonealpes@rh-triumvirat.fr</w:t>
      </w:r>
    </w:hyperlink>
  </w:p>
  <w:p w14:paraId="22220CE6" w14:textId="77777777" w:rsidR="00BB4669" w:rsidRPr="00793643" w:rsidRDefault="00BB4669" w:rsidP="00BB4669">
    <w:pPr>
      <w:pStyle w:val="Pieddepage"/>
      <w:jc w:val="center"/>
      <w:rPr>
        <w:b/>
        <w:color w:val="2F5496" w:themeColor="accent1" w:themeShade="BF"/>
      </w:rPr>
    </w:pPr>
    <w:r w:rsidRPr="00793643">
      <w:rPr>
        <w:rFonts w:ascii="Arial" w:hAnsi="Arial" w:cs="Arial"/>
        <w:b/>
        <w:color w:val="2F5496" w:themeColor="accent1" w:themeShade="BF"/>
        <w:sz w:val="18"/>
        <w:szCs w:val="18"/>
        <w:lang w:eastAsia="fr-FR"/>
      </w:rPr>
      <w:t xml:space="preserve">Triumvirat Rhône-Alpes – SARL au capital de </w:t>
    </w:r>
    <w:r>
      <w:rPr>
        <w:rFonts w:ascii="Arial" w:hAnsi="Arial" w:cs="Arial"/>
        <w:b/>
        <w:color w:val="2F5496" w:themeColor="accent1" w:themeShade="BF"/>
        <w:sz w:val="18"/>
        <w:szCs w:val="18"/>
        <w:lang w:eastAsia="fr-FR"/>
      </w:rPr>
      <w:t>7</w:t>
    </w:r>
    <w:r w:rsidRPr="00793643">
      <w:rPr>
        <w:rFonts w:ascii="Arial" w:hAnsi="Arial" w:cs="Arial"/>
        <w:b/>
        <w:color w:val="2F5496" w:themeColor="accent1" w:themeShade="BF"/>
        <w:sz w:val="18"/>
        <w:szCs w:val="18"/>
        <w:lang w:eastAsia="fr-FR"/>
      </w:rPr>
      <w:t xml:space="preserve"> </w:t>
    </w:r>
    <w:r>
      <w:rPr>
        <w:rFonts w:ascii="Arial" w:hAnsi="Arial" w:cs="Arial"/>
        <w:b/>
        <w:color w:val="2F5496" w:themeColor="accent1" w:themeShade="BF"/>
        <w:sz w:val="18"/>
        <w:szCs w:val="18"/>
        <w:lang w:eastAsia="fr-FR"/>
      </w:rPr>
      <w:t>7</w:t>
    </w:r>
    <w:r w:rsidRPr="00793643">
      <w:rPr>
        <w:rFonts w:ascii="Arial" w:hAnsi="Arial" w:cs="Arial"/>
        <w:b/>
        <w:color w:val="2F5496" w:themeColor="accent1" w:themeShade="BF"/>
        <w:sz w:val="18"/>
        <w:szCs w:val="18"/>
        <w:lang w:eastAsia="fr-FR"/>
      </w:rPr>
      <w:t>00 € - RCS 438 594 673 – Code APE 7810Z</w:t>
    </w:r>
  </w:p>
  <w:p w14:paraId="7DCDA8D7" w14:textId="0F558A1B" w:rsidR="00BB4669" w:rsidRDefault="00BB4669" w:rsidP="00BB4669">
    <w:pPr>
      <w:pStyle w:val="Pieddepage"/>
      <w:tabs>
        <w:tab w:val="clear" w:pos="4536"/>
        <w:tab w:val="clear" w:pos="9072"/>
        <w:tab w:val="left" w:pos="1440"/>
      </w:tabs>
    </w:pPr>
  </w:p>
  <w:p w14:paraId="63F18414" w14:textId="77777777" w:rsidR="00BB4669" w:rsidRDefault="00BB46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5892" w14:textId="77777777" w:rsidR="00BB4669" w:rsidRDefault="00BB4669" w:rsidP="00BB4669">
      <w:pPr>
        <w:spacing w:after="0" w:line="240" w:lineRule="auto"/>
      </w:pPr>
      <w:r>
        <w:separator/>
      </w:r>
    </w:p>
  </w:footnote>
  <w:footnote w:type="continuationSeparator" w:id="0">
    <w:p w14:paraId="36B4A025" w14:textId="77777777" w:rsidR="00BB4669" w:rsidRDefault="00BB4669" w:rsidP="00BB4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B4"/>
    <w:rsid w:val="00017EE9"/>
    <w:rsid w:val="002F55C0"/>
    <w:rsid w:val="006736EF"/>
    <w:rsid w:val="007C455D"/>
    <w:rsid w:val="007F3D3D"/>
    <w:rsid w:val="00982BFE"/>
    <w:rsid w:val="00A124FA"/>
    <w:rsid w:val="00A75E17"/>
    <w:rsid w:val="00B9535D"/>
    <w:rsid w:val="00BB4669"/>
    <w:rsid w:val="00C276C0"/>
    <w:rsid w:val="00D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E15AC0"/>
  <w15:chartTrackingRefBased/>
  <w15:docId w15:val="{B520B8D7-F72D-4F5B-A452-ED219E7F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B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669"/>
  </w:style>
  <w:style w:type="paragraph" w:styleId="Pieddepage">
    <w:name w:val="footer"/>
    <w:basedOn w:val="Normal"/>
    <w:link w:val="PieddepageCar"/>
    <w:uiPriority w:val="99"/>
    <w:unhideWhenUsed/>
    <w:rsid w:val="00BB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669"/>
  </w:style>
  <w:style w:type="character" w:styleId="Lienhypertexte">
    <w:name w:val="Hyperlink"/>
    <w:basedOn w:val="Policepardfaut"/>
    <w:uiPriority w:val="99"/>
    <w:rsid w:val="00BB46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e.rhonealpes@rh-triumvirat.fr" TargetMode="External"/><Relationship Id="rId1" Type="http://schemas.openxmlformats.org/officeDocument/2006/relationships/hyperlink" Target="http://www.soh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agnesm</dc:creator>
  <cp:keywords/>
  <dc:description/>
  <cp:lastModifiedBy>amignorat</cp:lastModifiedBy>
  <cp:revision>9</cp:revision>
  <dcterms:created xsi:type="dcterms:W3CDTF">2020-03-03T10:05:00Z</dcterms:created>
  <dcterms:modified xsi:type="dcterms:W3CDTF">2022-05-31T10:04:00Z</dcterms:modified>
</cp:coreProperties>
</file>